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15A5" w:rsidRDefault="009822F9" w:rsidP="009822F9">
      <w:pPr>
        <w:pStyle w:val="Heading1"/>
        <w:rPr>
          <w:b w:val="0"/>
          <w:color w:val="2E74B5" w:themeColor="accent1" w:themeShade="BF"/>
        </w:rPr>
      </w:pPr>
      <w:r w:rsidRPr="009822F9">
        <w:rPr>
          <w:b w:val="0"/>
          <w:color w:val="2E74B5" w:themeColor="accent1" w:themeShade="BF"/>
        </w:rPr>
        <w:t xml:space="preserve">Reference number: </w:t>
      </w:r>
      <w:r w:rsidR="008E14E5">
        <w:rPr>
          <w:b w:val="0"/>
          <w:color w:val="2E74B5" w:themeColor="accent1" w:themeShade="BF"/>
        </w:rPr>
        <w:t xml:space="preserve"> 3640</w:t>
      </w:r>
      <w:r w:rsidR="00073CBC">
        <w:rPr>
          <w:b w:val="0"/>
          <w:color w:val="2E74B5" w:themeColor="accent1" w:themeShade="BF"/>
        </w:rPr>
        <w:t>/19    Keywords</w:t>
      </w:r>
      <w:r w:rsidR="008E14E5">
        <w:rPr>
          <w:b w:val="0"/>
          <w:color w:val="2E74B5" w:themeColor="accent1" w:themeShade="BF"/>
        </w:rPr>
        <w:t>:</w:t>
      </w:r>
      <w:r w:rsidR="00073CBC">
        <w:rPr>
          <w:b w:val="0"/>
          <w:color w:val="2E74B5" w:themeColor="accent1" w:themeShade="BF"/>
        </w:rPr>
        <w:t xml:space="preserve">  </w:t>
      </w:r>
      <w:r w:rsidR="008E14E5">
        <w:rPr>
          <w:b w:val="0"/>
          <w:color w:val="2E74B5" w:themeColor="accent1" w:themeShade="BF"/>
        </w:rPr>
        <w:t>FGM, Female Genital Mutilation.</w:t>
      </w:r>
    </w:p>
    <w:p w:rsidR="009822F9" w:rsidRPr="009822F9" w:rsidRDefault="009822F9" w:rsidP="009822F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6"/>
        <w:gridCol w:w="6631"/>
        <w:gridCol w:w="2881"/>
      </w:tblGrid>
      <w:tr w:rsidR="00E436F1" w:rsidRPr="002653B0" w:rsidTr="00073CBC">
        <w:tc>
          <w:tcPr>
            <w:tcW w:w="3539" w:type="dxa"/>
            <w:shd w:val="clear" w:color="auto" w:fill="DEEAF6"/>
          </w:tcPr>
          <w:p w:rsidR="00E436F1" w:rsidRPr="002653B0" w:rsidRDefault="00E436F1" w:rsidP="002653B0">
            <w:pPr>
              <w:spacing w:after="0" w:line="240" w:lineRule="auto"/>
              <w:jc w:val="center"/>
              <w:rPr>
                <w:b/>
              </w:rPr>
            </w:pPr>
            <w:r w:rsidRPr="002653B0">
              <w:rPr>
                <w:b/>
              </w:rPr>
              <w:t>REQUEST</w:t>
            </w:r>
          </w:p>
        </w:tc>
        <w:tc>
          <w:tcPr>
            <w:tcW w:w="8476" w:type="dxa"/>
            <w:shd w:val="clear" w:color="auto" w:fill="DEEAF6"/>
          </w:tcPr>
          <w:p w:rsidR="00E436F1" w:rsidRPr="002653B0" w:rsidRDefault="00E436F1" w:rsidP="002653B0">
            <w:pPr>
              <w:spacing w:after="0" w:line="240" w:lineRule="auto"/>
              <w:jc w:val="center"/>
              <w:rPr>
                <w:b/>
              </w:rPr>
            </w:pPr>
            <w:r w:rsidRPr="002653B0">
              <w:rPr>
                <w:b/>
              </w:rPr>
              <w:t>RESPONSE</w:t>
            </w:r>
          </w:p>
        </w:tc>
        <w:tc>
          <w:tcPr>
            <w:tcW w:w="3373" w:type="dxa"/>
            <w:shd w:val="clear" w:color="auto" w:fill="DEEAF6"/>
          </w:tcPr>
          <w:p w:rsidR="00E436F1" w:rsidRPr="002653B0" w:rsidRDefault="00E436F1" w:rsidP="002653B0">
            <w:pPr>
              <w:spacing w:after="0" w:line="240" w:lineRule="auto"/>
              <w:jc w:val="center"/>
              <w:rPr>
                <w:b/>
              </w:rPr>
            </w:pPr>
            <w:r w:rsidRPr="002653B0">
              <w:rPr>
                <w:b/>
              </w:rPr>
              <w:t>ADDITIONAL INFORMATION</w:t>
            </w:r>
          </w:p>
        </w:tc>
      </w:tr>
      <w:tr w:rsidR="00E436F1" w:rsidRPr="002653B0" w:rsidTr="00073CBC">
        <w:tc>
          <w:tcPr>
            <w:tcW w:w="3539" w:type="dxa"/>
            <w:shd w:val="clear" w:color="auto" w:fill="FFFFFF"/>
          </w:tcPr>
          <w:p w:rsidR="00E436F1" w:rsidRPr="002653B0" w:rsidRDefault="00E436F1" w:rsidP="002653B0">
            <w:pPr>
              <w:spacing w:after="0" w:line="240" w:lineRule="auto"/>
              <w:jc w:val="center"/>
              <w:rPr>
                <w:b/>
              </w:rPr>
            </w:pPr>
          </w:p>
          <w:p w:rsidR="008E14E5" w:rsidRDefault="008E14E5" w:rsidP="008E14E5">
            <w:pPr>
              <w:pStyle w:val="ListParagraph"/>
              <w:numPr>
                <w:ilvl w:val="0"/>
                <w:numId w:val="1"/>
              </w:numPr>
              <w:spacing w:line="264" w:lineRule="auto"/>
              <w:rPr>
                <w:color w:val="003F76"/>
              </w:rPr>
            </w:pPr>
            <w:r w:rsidRPr="008E14E5">
              <w:rPr>
                <w:color w:val="003F76"/>
              </w:rPr>
              <w:t xml:space="preserve">Please supply the number of cases of FGM (Female Genital Mutilation) which were reported to your police force between the following dates: a. 1 October 2016 and 30 September 2017 (inclusive) b. 1 October 2017 and 30 September 2018 (inclusive) c. 1 October 2018 and 30 September 2019 (inclusive) (Reference: </w:t>
            </w:r>
            <w:hyperlink r:id="rId8" w:history="1">
              <w:r w:rsidRPr="006740BC">
                <w:rPr>
                  <w:rStyle w:val="Hyperlink"/>
                </w:rPr>
                <w:t>https://www.gov.uk/government/publications/mandatory-reporting-of-female-genital-mutilation-procedural-information</w:t>
              </w:r>
            </w:hyperlink>
            <w:r w:rsidRPr="008E14E5">
              <w:rPr>
                <w:color w:val="003F76"/>
              </w:rPr>
              <w:t xml:space="preserve">) </w:t>
            </w:r>
          </w:p>
          <w:p w:rsidR="008E14E5" w:rsidRPr="008E14E5" w:rsidRDefault="008E14E5" w:rsidP="008E14E5">
            <w:pPr>
              <w:spacing w:line="264" w:lineRule="auto"/>
              <w:rPr>
                <w:color w:val="003F76"/>
              </w:rPr>
            </w:pPr>
          </w:p>
          <w:p w:rsidR="00E436F1" w:rsidRPr="008E14E5" w:rsidRDefault="008E14E5" w:rsidP="008E14E5">
            <w:pPr>
              <w:pStyle w:val="ListParagraph"/>
              <w:numPr>
                <w:ilvl w:val="0"/>
                <w:numId w:val="1"/>
              </w:numPr>
              <w:spacing w:after="0" w:line="240" w:lineRule="auto"/>
              <w:rPr>
                <w:b/>
              </w:rPr>
            </w:pPr>
            <w:r w:rsidRPr="008E14E5">
              <w:rPr>
                <w:color w:val="003F76"/>
              </w:rPr>
              <w:t xml:space="preserve">Please supply the number of FGM Prevention Orders which were served on your Police Force between the following dates: a. 1 October 2016 and 30 September 2017 (inclusive) b. 1 October 2017 and 30 September 2018 (inclusive) c. 1 October 2018 and 30 September 2019 (inclusive) (Reference: </w:t>
            </w:r>
            <w:hyperlink r:id="rId9" w:history="1">
              <w:r w:rsidRPr="006740BC">
                <w:rPr>
                  <w:rStyle w:val="Hyperlink"/>
                </w:rPr>
                <w:t>https://www.gov.uk/female-genital-mutilation-protection-order</w:t>
              </w:r>
            </w:hyperlink>
            <w:r w:rsidRPr="008E14E5">
              <w:rPr>
                <w:color w:val="003F76"/>
              </w:rPr>
              <w:t>)</w:t>
            </w:r>
          </w:p>
          <w:p w:rsidR="00E436F1" w:rsidRPr="002653B0" w:rsidRDefault="00E436F1" w:rsidP="008E14E5">
            <w:pPr>
              <w:spacing w:after="0" w:line="240" w:lineRule="auto"/>
              <w:rPr>
                <w:b/>
              </w:rPr>
            </w:pPr>
          </w:p>
          <w:p w:rsidR="00E436F1" w:rsidRPr="002653B0" w:rsidRDefault="00E436F1" w:rsidP="002653B0">
            <w:pPr>
              <w:spacing w:after="0" w:line="240" w:lineRule="auto"/>
              <w:jc w:val="center"/>
              <w:rPr>
                <w:b/>
              </w:rPr>
            </w:pPr>
          </w:p>
          <w:p w:rsidR="00E436F1" w:rsidRPr="002653B0" w:rsidRDefault="00E436F1" w:rsidP="002653B0">
            <w:pPr>
              <w:spacing w:after="0" w:line="240" w:lineRule="auto"/>
              <w:jc w:val="center"/>
              <w:rPr>
                <w:b/>
              </w:rPr>
            </w:pPr>
          </w:p>
          <w:p w:rsidR="00E436F1" w:rsidRPr="002653B0" w:rsidRDefault="00E436F1" w:rsidP="002653B0">
            <w:pPr>
              <w:spacing w:after="0" w:line="240" w:lineRule="auto"/>
              <w:jc w:val="center"/>
              <w:rPr>
                <w:b/>
              </w:rPr>
            </w:pPr>
          </w:p>
          <w:p w:rsidR="00E436F1" w:rsidRPr="002653B0" w:rsidRDefault="00E436F1" w:rsidP="002653B0">
            <w:pPr>
              <w:spacing w:after="0" w:line="240" w:lineRule="auto"/>
              <w:jc w:val="center"/>
              <w:rPr>
                <w:b/>
              </w:rPr>
            </w:pPr>
          </w:p>
          <w:p w:rsidR="00E436F1" w:rsidRPr="002653B0" w:rsidRDefault="00E436F1" w:rsidP="002653B0">
            <w:pPr>
              <w:spacing w:after="0" w:line="240" w:lineRule="auto"/>
              <w:jc w:val="center"/>
              <w:rPr>
                <w:b/>
              </w:rPr>
            </w:pPr>
          </w:p>
          <w:p w:rsidR="00E436F1" w:rsidRPr="002653B0" w:rsidRDefault="00E436F1" w:rsidP="002653B0">
            <w:pPr>
              <w:spacing w:after="0" w:line="240" w:lineRule="auto"/>
              <w:jc w:val="center"/>
              <w:rPr>
                <w:b/>
              </w:rPr>
            </w:pPr>
          </w:p>
          <w:p w:rsidR="00E436F1" w:rsidRPr="002653B0" w:rsidRDefault="00E436F1" w:rsidP="002653B0">
            <w:pPr>
              <w:spacing w:after="0" w:line="240" w:lineRule="auto"/>
              <w:jc w:val="center"/>
              <w:rPr>
                <w:b/>
              </w:rPr>
            </w:pPr>
          </w:p>
          <w:p w:rsidR="00E436F1" w:rsidRPr="002653B0" w:rsidRDefault="00E436F1" w:rsidP="002653B0">
            <w:pPr>
              <w:spacing w:after="0" w:line="240" w:lineRule="auto"/>
              <w:jc w:val="center"/>
              <w:rPr>
                <w:b/>
              </w:rPr>
            </w:pPr>
          </w:p>
          <w:p w:rsidR="00E436F1" w:rsidRPr="002653B0" w:rsidRDefault="00E436F1" w:rsidP="002653B0">
            <w:pPr>
              <w:spacing w:after="0" w:line="240" w:lineRule="auto"/>
              <w:jc w:val="center"/>
              <w:rPr>
                <w:b/>
              </w:rPr>
            </w:pPr>
          </w:p>
          <w:p w:rsidR="00E436F1" w:rsidRPr="002653B0" w:rsidRDefault="00E436F1" w:rsidP="002653B0">
            <w:pPr>
              <w:spacing w:after="0" w:line="240" w:lineRule="auto"/>
              <w:jc w:val="center"/>
              <w:rPr>
                <w:b/>
              </w:rPr>
            </w:pPr>
          </w:p>
          <w:p w:rsidR="00E436F1" w:rsidRPr="002653B0" w:rsidRDefault="00E436F1" w:rsidP="002653B0">
            <w:pPr>
              <w:spacing w:after="0" w:line="240" w:lineRule="auto"/>
              <w:jc w:val="center"/>
              <w:rPr>
                <w:b/>
              </w:rPr>
            </w:pPr>
          </w:p>
          <w:p w:rsidR="00E436F1" w:rsidRPr="002653B0" w:rsidRDefault="00E436F1" w:rsidP="002653B0">
            <w:pPr>
              <w:spacing w:after="0" w:line="240" w:lineRule="auto"/>
              <w:jc w:val="center"/>
              <w:rPr>
                <w:b/>
              </w:rPr>
            </w:pPr>
          </w:p>
          <w:p w:rsidR="00E436F1" w:rsidRPr="002653B0" w:rsidRDefault="00E436F1" w:rsidP="002653B0">
            <w:pPr>
              <w:spacing w:after="0" w:line="240" w:lineRule="auto"/>
              <w:jc w:val="center"/>
              <w:rPr>
                <w:b/>
              </w:rPr>
            </w:pPr>
          </w:p>
          <w:p w:rsidR="00E436F1" w:rsidRPr="002653B0" w:rsidRDefault="00E436F1" w:rsidP="002653B0">
            <w:pPr>
              <w:spacing w:after="0" w:line="240" w:lineRule="auto"/>
              <w:jc w:val="center"/>
              <w:rPr>
                <w:b/>
              </w:rPr>
            </w:pPr>
          </w:p>
          <w:p w:rsidR="00E436F1" w:rsidRPr="002653B0" w:rsidRDefault="00E436F1" w:rsidP="002653B0">
            <w:pPr>
              <w:spacing w:after="0" w:line="240" w:lineRule="auto"/>
              <w:jc w:val="center"/>
              <w:rPr>
                <w:b/>
              </w:rPr>
            </w:pPr>
          </w:p>
          <w:p w:rsidR="00E436F1" w:rsidRPr="002653B0" w:rsidRDefault="00E436F1" w:rsidP="002653B0">
            <w:pPr>
              <w:spacing w:after="0" w:line="240" w:lineRule="auto"/>
              <w:jc w:val="center"/>
              <w:rPr>
                <w:b/>
              </w:rPr>
            </w:pPr>
          </w:p>
          <w:p w:rsidR="00E436F1" w:rsidRPr="002653B0" w:rsidRDefault="00E436F1" w:rsidP="002653B0">
            <w:pPr>
              <w:spacing w:after="0" w:line="240" w:lineRule="auto"/>
              <w:jc w:val="center"/>
              <w:rPr>
                <w:b/>
              </w:rPr>
            </w:pPr>
          </w:p>
          <w:p w:rsidR="00E436F1" w:rsidRPr="002653B0" w:rsidRDefault="00E436F1" w:rsidP="002653B0">
            <w:pPr>
              <w:spacing w:after="0" w:line="240" w:lineRule="auto"/>
              <w:jc w:val="center"/>
              <w:rPr>
                <w:b/>
              </w:rPr>
            </w:pPr>
          </w:p>
        </w:tc>
        <w:tc>
          <w:tcPr>
            <w:tcW w:w="8476" w:type="dxa"/>
            <w:shd w:val="clear" w:color="auto" w:fill="FFFFFF"/>
          </w:tcPr>
          <w:p w:rsidR="00073CBC" w:rsidRDefault="00073CBC" w:rsidP="008E14E5">
            <w:pPr>
              <w:spacing w:after="0" w:line="240" w:lineRule="auto"/>
              <w:rPr>
                <w:color w:val="003F76"/>
              </w:rPr>
            </w:pPr>
          </w:p>
          <w:p w:rsidR="008E14E5" w:rsidRDefault="008E14E5" w:rsidP="008E14E5">
            <w:pPr>
              <w:spacing w:line="264" w:lineRule="auto"/>
            </w:pPr>
            <w:r>
              <w:t>Surrey Police can confirm that it holds information, however this is exempt  by virtue of the following exemption:</w:t>
            </w:r>
          </w:p>
          <w:p w:rsidR="008E14E5" w:rsidRDefault="008E14E5" w:rsidP="008E14E5">
            <w:pPr>
              <w:numPr>
                <w:ilvl w:val="0"/>
                <w:numId w:val="2"/>
              </w:numPr>
              <w:spacing w:after="0" w:line="264" w:lineRule="auto"/>
              <w:contextualSpacing/>
              <w:rPr>
                <w:b/>
                <w:bCs/>
              </w:rPr>
            </w:pPr>
            <w:r>
              <w:rPr>
                <w:b/>
                <w:bCs/>
              </w:rPr>
              <w:t>Section 31(1)(a) – Law Enforcement</w:t>
            </w:r>
          </w:p>
          <w:p w:rsidR="008E14E5" w:rsidRDefault="008E14E5" w:rsidP="008E14E5">
            <w:pPr>
              <w:spacing w:line="264" w:lineRule="auto"/>
            </w:pPr>
            <w:r>
              <w:t xml:space="preserve">Section 31 is a qualified and prejudice-based exemption and there is a requirement to articulate the harm in disclosure and conduct a public interest test. </w:t>
            </w:r>
          </w:p>
          <w:p w:rsidR="008E14E5" w:rsidRDefault="008E14E5" w:rsidP="008E14E5">
            <w:pPr>
              <w:spacing w:line="264" w:lineRule="auto"/>
              <w:rPr>
                <w:b/>
                <w:bCs/>
              </w:rPr>
            </w:pPr>
            <w:r>
              <w:rPr>
                <w:b/>
                <w:bCs/>
              </w:rPr>
              <w:t xml:space="preserve">Evidence of Harm </w:t>
            </w:r>
          </w:p>
          <w:p w:rsidR="008E14E5" w:rsidRDefault="008E14E5" w:rsidP="008E14E5">
            <w:pPr>
              <w:spacing w:line="264" w:lineRule="auto"/>
            </w:pPr>
            <w:r>
              <w:t xml:space="preserve">Surrey Police is charged with enforcing the law, the prevention and detection of crime and protecting the communities we serve. To disclose the number of investigations into Female Genital Mutilation (FGM) for the period of time specified above has the potential to undermine confidence in reporting cases and hinder or obstruct any past, present or future investigations. </w:t>
            </w:r>
          </w:p>
          <w:p w:rsidR="008E14E5" w:rsidRDefault="008E14E5" w:rsidP="008E14E5">
            <w:pPr>
              <w:spacing w:line="264" w:lineRule="auto"/>
              <w:rPr>
                <w:b/>
                <w:bCs/>
              </w:rPr>
            </w:pPr>
            <w:r>
              <w:rPr>
                <w:b/>
                <w:bCs/>
              </w:rPr>
              <w:t xml:space="preserve">Factors favouring disclosure </w:t>
            </w:r>
          </w:p>
          <w:p w:rsidR="008E14E5" w:rsidRDefault="008E14E5" w:rsidP="008E14E5">
            <w:pPr>
              <w:spacing w:line="264" w:lineRule="auto"/>
            </w:pPr>
            <w:r>
              <w:t xml:space="preserve">To disclose this information would adhere to the basic principle of being open and transparent, it would also lead to a better informed public which in turn would lead to a more accurate public debate. </w:t>
            </w:r>
          </w:p>
          <w:p w:rsidR="008E14E5" w:rsidRDefault="008E14E5" w:rsidP="008E14E5">
            <w:pPr>
              <w:spacing w:line="264" w:lineRule="auto"/>
            </w:pPr>
            <w:r>
              <w:rPr>
                <w:b/>
                <w:bCs/>
              </w:rPr>
              <w:t xml:space="preserve">Factors favouring non-disclosure </w:t>
            </w:r>
          </w:p>
          <w:p w:rsidR="008E14E5" w:rsidRDefault="008E14E5" w:rsidP="008E14E5">
            <w:pPr>
              <w:spacing w:line="264" w:lineRule="auto"/>
            </w:pPr>
            <w:r>
              <w:t xml:space="preserve">Disclosure could potentially undermine the flow of intelligence. Female Genital Mutilation is a sensitive subject matter which involves </w:t>
            </w:r>
            <w:r>
              <w:lastRenderedPageBreak/>
              <w:t>vulnerable females, and by the very nature of the act, this crime can often remain one that is unseen and unreported. The public have an high expectation that any information provided to the Police will be treated with confidence, anything that places this confidence at risk would undermine any trust individuals have in the Police, which could potentially affect our ability to prevent and detect crime, which in turn would have an adverse effect on the safety of the communities we serve.</w:t>
            </w:r>
          </w:p>
          <w:p w:rsidR="008E14E5" w:rsidRDefault="008E14E5" w:rsidP="008E14E5">
            <w:pPr>
              <w:spacing w:line="264" w:lineRule="auto"/>
              <w:rPr>
                <w:b/>
                <w:bCs/>
              </w:rPr>
            </w:pPr>
            <w:r>
              <w:rPr>
                <w:b/>
                <w:bCs/>
              </w:rPr>
              <w:t xml:space="preserve">Balancing test </w:t>
            </w:r>
          </w:p>
          <w:p w:rsidR="008E14E5" w:rsidRDefault="008E14E5" w:rsidP="008E14E5">
            <w:pPr>
              <w:spacing w:line="264" w:lineRule="auto"/>
            </w:pPr>
            <w:r>
              <w:t>Whilst the factors favouring disclosure are important, in that the public would be well informed about the number of cases of FGM and there is a public interest in the transparency of policing operations and investigations, providing reassurance that the Police Service is appropriately and effectively engaging with the threat from criminals, when weighing that against the safety of the public and the potential that disclosure could potentially affect any past, present or future investigations then the factors favouring no-disclosure take precedence.</w:t>
            </w:r>
          </w:p>
          <w:p w:rsidR="008E14E5" w:rsidRDefault="008E14E5" w:rsidP="008E14E5">
            <w:pPr>
              <w:spacing w:line="264" w:lineRule="auto"/>
            </w:pPr>
            <w:r>
              <w:t>Therefore, at this moment in time, it is our opinion that for these issues the balance test for disclosure is not made out.</w:t>
            </w:r>
          </w:p>
          <w:p w:rsidR="008E14E5" w:rsidRPr="00073CBC" w:rsidRDefault="008E14E5" w:rsidP="008E14E5">
            <w:pPr>
              <w:spacing w:line="264" w:lineRule="auto"/>
            </w:pPr>
            <w:r>
              <w:t>In accordance with Section 17 of FOIA this letter represents a Refusal Notice for this part of your request.</w:t>
            </w:r>
          </w:p>
        </w:tc>
        <w:tc>
          <w:tcPr>
            <w:tcW w:w="3373" w:type="dxa"/>
            <w:shd w:val="clear" w:color="auto" w:fill="FFFFFF"/>
          </w:tcPr>
          <w:p w:rsidR="00314F23" w:rsidRDefault="00314F23" w:rsidP="00314F23">
            <w:pPr>
              <w:spacing w:after="0" w:line="264" w:lineRule="auto"/>
            </w:pPr>
          </w:p>
          <w:p w:rsidR="00314F23" w:rsidRPr="00314F23" w:rsidRDefault="00314F23" w:rsidP="00314F23">
            <w:pPr>
              <w:spacing w:after="0" w:line="264" w:lineRule="auto"/>
              <w:rPr>
                <w:i/>
              </w:rPr>
            </w:pPr>
            <w:bookmarkStart w:id="0" w:name="_GoBack"/>
            <w:r w:rsidRPr="00314F23">
              <w:rPr>
                <w:i/>
              </w:rPr>
              <w:t>Left Blank</w:t>
            </w:r>
          </w:p>
          <w:bookmarkEnd w:id="0"/>
          <w:p w:rsidR="00E436F1" w:rsidRPr="002653B0" w:rsidRDefault="00E436F1" w:rsidP="00314F23">
            <w:pPr>
              <w:spacing w:line="264" w:lineRule="auto"/>
              <w:rPr>
                <w:b/>
              </w:rPr>
            </w:pPr>
          </w:p>
        </w:tc>
      </w:tr>
    </w:tbl>
    <w:p w:rsidR="00B81B67" w:rsidRDefault="00B81B67"/>
    <w:p w:rsidR="00B81B67" w:rsidRDefault="00B81B67"/>
    <w:sectPr w:rsidR="00B81B67" w:rsidSect="00E54FC2">
      <w:headerReference w:type="default" r:id="rId10"/>
      <w:footerReference w:type="default" r:id="rId11"/>
      <w:pgSz w:w="16838" w:h="11906" w:orient="landscape"/>
      <w:pgMar w:top="1805" w:right="720" w:bottom="720" w:left="720" w:header="227"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1DA4" w:rsidRDefault="006F1DA4" w:rsidP="00B81B67">
      <w:pPr>
        <w:spacing w:after="0" w:line="240" w:lineRule="auto"/>
      </w:pPr>
      <w:r>
        <w:separator/>
      </w:r>
    </w:p>
  </w:endnote>
  <w:endnote w:type="continuationSeparator" w:id="0">
    <w:p w:rsidR="006F1DA4" w:rsidRDefault="006F1DA4" w:rsidP="00B81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2FC" w:rsidRPr="002653B0" w:rsidRDefault="001B62FC">
    <w:pPr>
      <w:pStyle w:val="Footer"/>
      <w:jc w:val="center"/>
      <w:rPr>
        <w:caps/>
        <w:noProof/>
        <w:color w:val="5B9BD5"/>
      </w:rPr>
    </w:pPr>
    <w:r w:rsidRPr="002653B0">
      <w:rPr>
        <w:caps/>
        <w:color w:val="5B9BD5"/>
      </w:rPr>
      <w:t xml:space="preserve">Page 1 0f </w:t>
    </w:r>
    <w:r w:rsidRPr="002653B0">
      <w:rPr>
        <w:caps/>
        <w:color w:val="5B9BD5"/>
      </w:rPr>
      <w:fldChar w:fldCharType="begin"/>
    </w:r>
    <w:r w:rsidRPr="002653B0">
      <w:rPr>
        <w:caps/>
        <w:color w:val="5B9BD5"/>
      </w:rPr>
      <w:instrText xml:space="preserve"> PAGE   \* MERGEFORMAT </w:instrText>
    </w:r>
    <w:r w:rsidRPr="002653B0">
      <w:rPr>
        <w:caps/>
        <w:color w:val="5B9BD5"/>
      </w:rPr>
      <w:fldChar w:fldCharType="separate"/>
    </w:r>
    <w:r w:rsidR="00314F23">
      <w:rPr>
        <w:caps/>
        <w:noProof/>
        <w:color w:val="5B9BD5"/>
      </w:rPr>
      <w:t>2</w:t>
    </w:r>
    <w:r w:rsidRPr="002653B0">
      <w:rPr>
        <w:caps/>
        <w:noProof/>
        <w:color w:val="5B9BD5"/>
      </w:rPr>
      <w:fldChar w:fldCharType="end"/>
    </w:r>
  </w:p>
  <w:p w:rsidR="001B62FC" w:rsidRDefault="001B62FC" w:rsidP="00E436F1">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1DA4" w:rsidRDefault="006F1DA4" w:rsidP="00B81B67">
      <w:pPr>
        <w:spacing w:after="0" w:line="240" w:lineRule="auto"/>
      </w:pPr>
      <w:r>
        <w:separator/>
      </w:r>
    </w:p>
  </w:footnote>
  <w:footnote w:type="continuationSeparator" w:id="0">
    <w:p w:rsidR="006F1DA4" w:rsidRDefault="006F1DA4" w:rsidP="00B81B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FC2" w:rsidRDefault="00D84A7D" w:rsidP="002653B0">
    <w:pPr>
      <w:pStyle w:val="Header"/>
      <w:tabs>
        <w:tab w:val="clear" w:pos="4513"/>
        <w:tab w:val="clear" w:pos="9026"/>
        <w:tab w:val="center" w:pos="7699"/>
        <w:tab w:val="right" w:pos="15398"/>
      </w:tabs>
      <w:spacing w:before="100" w:beforeAutospacing="1" w:after="100" w:afterAutospacing="1"/>
    </w:pPr>
    <w:r>
      <w:rPr>
        <w:noProof/>
        <w:lang w:eastAsia="en-GB"/>
      </w:rPr>
      <w:drawing>
        <wp:anchor distT="0" distB="0" distL="114300" distR="114300" simplePos="0" relativeHeight="251659264" behindDoc="0" locked="0" layoutInCell="1" allowOverlap="1">
          <wp:simplePos x="0" y="0"/>
          <wp:positionH relativeFrom="column">
            <wp:posOffset>8587105</wp:posOffset>
          </wp:positionH>
          <wp:positionV relativeFrom="page">
            <wp:posOffset>223520</wp:posOffset>
          </wp:positionV>
          <wp:extent cx="1190625" cy="1360805"/>
          <wp:effectExtent l="0" t="0" r="9525"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1360805"/>
                  </a:xfrm>
                  <a:prstGeom prst="rect">
                    <a:avLst/>
                  </a:prstGeom>
                  <a:noFill/>
                </pic:spPr>
              </pic:pic>
            </a:graphicData>
          </a:graphic>
          <wp14:sizeRelH relativeFrom="page">
            <wp14:pctWidth>0</wp14:pctWidth>
          </wp14:sizeRelH>
          <wp14:sizeRelV relativeFrom="page">
            <wp14:pctHeight>0</wp14:pctHeight>
          </wp14:sizeRelV>
        </wp:anchor>
      </w:drawing>
    </w:r>
  </w:p>
  <w:p w:rsidR="009822F9" w:rsidRPr="009822F9" w:rsidRDefault="00E54FC2" w:rsidP="009822F9">
    <w:pPr>
      <w:pStyle w:val="Heading1"/>
      <w:rPr>
        <w:b w:val="0"/>
        <w:color w:val="2E74B5" w:themeColor="accent1" w:themeShade="BF"/>
        <w:sz w:val="44"/>
      </w:rPr>
    </w:pPr>
    <w:r w:rsidRPr="00E54FC2">
      <w:rPr>
        <w:b w:val="0"/>
        <w:color w:val="2E74B5" w:themeColor="accent1" w:themeShade="BF"/>
        <w:sz w:val="44"/>
      </w:rPr>
      <w:t>Freedom of Information Response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A321AB"/>
    <w:multiLevelType w:val="hybridMultilevel"/>
    <w:tmpl w:val="C9C05A3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78D67F91"/>
    <w:multiLevelType w:val="hybridMultilevel"/>
    <w:tmpl w:val="74C6399E"/>
    <w:lvl w:ilvl="0" w:tplc="B1AEDD38">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94B"/>
    <w:rsid w:val="00073CBC"/>
    <w:rsid w:val="00147390"/>
    <w:rsid w:val="001B62FC"/>
    <w:rsid w:val="002653B0"/>
    <w:rsid w:val="00314F23"/>
    <w:rsid w:val="00414A22"/>
    <w:rsid w:val="006715A5"/>
    <w:rsid w:val="006F1DA4"/>
    <w:rsid w:val="008E14E5"/>
    <w:rsid w:val="00961CCB"/>
    <w:rsid w:val="009822F9"/>
    <w:rsid w:val="009C5577"/>
    <w:rsid w:val="009D694B"/>
    <w:rsid w:val="00A22296"/>
    <w:rsid w:val="00B81B67"/>
    <w:rsid w:val="00D07E1C"/>
    <w:rsid w:val="00D3667A"/>
    <w:rsid w:val="00D4035E"/>
    <w:rsid w:val="00D84A7D"/>
    <w:rsid w:val="00D91B7F"/>
    <w:rsid w:val="00DF225E"/>
    <w:rsid w:val="00E436F1"/>
    <w:rsid w:val="00E54FC2"/>
    <w:rsid w:val="00E834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73FA5F79-1698-4FD1-A759-E9693F931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E54FC2"/>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1B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1B67"/>
  </w:style>
  <w:style w:type="paragraph" w:styleId="Footer">
    <w:name w:val="footer"/>
    <w:basedOn w:val="Normal"/>
    <w:link w:val="FooterChar"/>
    <w:uiPriority w:val="99"/>
    <w:unhideWhenUsed/>
    <w:rsid w:val="00B81B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1B67"/>
  </w:style>
  <w:style w:type="table" w:styleId="TableGrid">
    <w:name w:val="Table Grid"/>
    <w:basedOn w:val="TableNormal"/>
    <w:uiPriority w:val="39"/>
    <w:rsid w:val="00E436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54FC2"/>
    <w:rPr>
      <w:rFonts w:asciiTheme="majorHAnsi" w:eastAsiaTheme="majorEastAsia" w:hAnsiTheme="majorHAnsi" w:cstheme="majorBidi"/>
      <w:b/>
      <w:bCs/>
      <w:kern w:val="32"/>
      <w:sz w:val="32"/>
      <w:szCs w:val="32"/>
      <w:lang w:eastAsia="en-US"/>
    </w:rPr>
  </w:style>
  <w:style w:type="character" w:styleId="Hyperlink">
    <w:name w:val="Hyperlink"/>
    <w:uiPriority w:val="99"/>
    <w:unhideWhenUsed/>
    <w:rsid w:val="008E14E5"/>
    <w:rPr>
      <w:rFonts w:ascii="Calibri" w:hAnsi="Calibri" w:hint="default"/>
      <w:color w:val="003F76"/>
      <w:u w:val="single"/>
    </w:rPr>
  </w:style>
  <w:style w:type="paragraph" w:styleId="ListParagraph">
    <w:name w:val="List Paragraph"/>
    <w:basedOn w:val="Normal"/>
    <w:uiPriority w:val="34"/>
    <w:qFormat/>
    <w:rsid w:val="008E14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mandatory-reporting-of-female-genital-mutilation-procedural-informatio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female-genital-mutilation-protection-ord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B7D0DD-4B36-42C1-B116-A31FC8DCD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7B4FEB34</Template>
  <TotalTime>2</TotalTime>
  <Pages>2</Pages>
  <Words>527</Words>
  <Characters>3007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Surrey Police</Company>
  <LinksUpToDate>false</LinksUpToDate>
  <CharactersWithSpaces>3527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Tony 14860</dc:creator>
  <cp:keywords/>
  <dc:description/>
  <cp:lastModifiedBy>Smith, Tony 14860</cp:lastModifiedBy>
  <cp:revision>3</cp:revision>
  <dcterms:created xsi:type="dcterms:W3CDTF">2019-10-28T09:58:00Z</dcterms:created>
  <dcterms:modified xsi:type="dcterms:W3CDTF">2019-10-28T09:59:00Z</dcterms:modified>
</cp:coreProperties>
</file>